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D" w:rsidRPr="00584E93" w:rsidRDefault="00C348C5" w:rsidP="002D2D13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5B46DD">
        <w:rPr>
          <w:rFonts w:ascii="Arial" w:hAnsi="Arial" w:cs="Arial"/>
          <w:b/>
          <w:sz w:val="32"/>
          <w:szCs w:val="36"/>
        </w:rPr>
        <w:t>Standard Operating Procedure (SOP)</w:t>
      </w:r>
      <w:r w:rsidR="00F635B7">
        <w:rPr>
          <w:rFonts w:ascii="Arial" w:hAnsi="Arial" w:cs="Arial"/>
          <w:b/>
          <w:sz w:val="32"/>
          <w:szCs w:val="36"/>
        </w:rPr>
        <w:t xml:space="preserve"> for Stereotactic injections </w:t>
      </w:r>
      <w:r w:rsidR="00855A7C">
        <w:rPr>
          <w:rFonts w:ascii="Arial" w:hAnsi="Arial" w:cs="Arial"/>
          <w:b/>
          <w:sz w:val="32"/>
          <w:szCs w:val="36"/>
        </w:rPr>
        <w:t>on Benchtops</w:t>
      </w:r>
    </w:p>
    <w:p w:rsidR="00A378ED" w:rsidRDefault="00A378ED" w:rsidP="002D2D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92DA9" w:rsidRDefault="005B46DD" w:rsidP="00A378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Scope: </w:t>
      </w:r>
    </w:p>
    <w:p w:rsidR="00792DA9" w:rsidRDefault="00792DA9" w:rsidP="00A378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60C73" w:rsidRPr="00560C73" w:rsidRDefault="00584E93" w:rsidP="00560C7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This SOP </w:t>
      </w:r>
      <w:r w:rsidR="00F635B7">
        <w:rPr>
          <w:rFonts w:ascii="Arial" w:hAnsi="Arial" w:cs="Arial"/>
          <w:bCs/>
          <w:color w:val="000000"/>
        </w:rPr>
        <w:t>applies to all laboratory personnel who will perform stereotactic injections of recombinant DNA constructs into animals in an open bench</w:t>
      </w:r>
      <w:r w:rsidR="00B6318D">
        <w:rPr>
          <w:rFonts w:ascii="Arial" w:hAnsi="Arial" w:cs="Arial"/>
          <w:bCs/>
          <w:color w:val="000000"/>
        </w:rPr>
        <w:t>.</w:t>
      </w:r>
      <w:r w:rsidR="00F635B7">
        <w:rPr>
          <w:rFonts w:ascii="Arial" w:hAnsi="Arial" w:cs="Arial"/>
          <w:bCs/>
          <w:color w:val="000000"/>
        </w:rPr>
        <w:t xml:space="preserve"> Recombinant DNA includes recombination incompetent adenoviruses</w:t>
      </w:r>
      <w:r w:rsidR="00F25B94">
        <w:rPr>
          <w:rFonts w:ascii="Arial" w:hAnsi="Arial" w:cs="Arial"/>
          <w:bCs/>
          <w:color w:val="000000"/>
        </w:rPr>
        <w:t xml:space="preserve"> and adeno-associated viruses</w:t>
      </w:r>
      <w:r w:rsidR="00F635B7">
        <w:rPr>
          <w:rFonts w:ascii="Arial" w:hAnsi="Arial" w:cs="Arial"/>
          <w:bCs/>
          <w:color w:val="000000"/>
        </w:rPr>
        <w:t>, replication incompetent lentiviruses, and G-deleted rabies viruses.</w:t>
      </w:r>
    </w:p>
    <w:p w:rsidR="005B46DD" w:rsidRPr="005B46DD" w:rsidRDefault="00560C73" w:rsidP="005B46DD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Before performing stereotactic surgery:</w:t>
      </w:r>
    </w:p>
    <w:p w:rsidR="00560C73" w:rsidRPr="004C1A99" w:rsidRDefault="00560C73" w:rsidP="004C1A99">
      <w:pPr>
        <w:pStyle w:val="NormalWeb"/>
        <w:numPr>
          <w:ilvl w:val="0"/>
          <w:numId w:val="41"/>
        </w:numPr>
        <w:spacing w:after="0"/>
        <w:rPr>
          <w:rFonts w:ascii="Arial" w:hAnsi="Arial" w:cs="Arial"/>
          <w:color w:val="000000"/>
        </w:rPr>
      </w:pPr>
      <w:r w:rsidRPr="004C1A99">
        <w:rPr>
          <w:rFonts w:ascii="Arial" w:hAnsi="Arial" w:cs="Arial"/>
          <w:color w:val="000000"/>
        </w:rPr>
        <w:t>Approvals are granted for a single virus-insert combination. Any other recombinant viruses will require IBC review before initiation of experiments. The IBC may include additional safety measures as indicated by a risk assessment.</w:t>
      </w:r>
    </w:p>
    <w:p w:rsidR="00560C73" w:rsidRPr="004C1A99" w:rsidRDefault="00560C73" w:rsidP="004C1A99">
      <w:pPr>
        <w:pStyle w:val="NormalWeb"/>
        <w:numPr>
          <w:ilvl w:val="0"/>
          <w:numId w:val="41"/>
        </w:numPr>
        <w:spacing w:after="0"/>
        <w:rPr>
          <w:rFonts w:ascii="Arial" w:hAnsi="Arial" w:cs="Arial"/>
          <w:color w:val="000000"/>
        </w:rPr>
      </w:pPr>
      <w:r w:rsidRPr="004C1A99">
        <w:rPr>
          <w:rFonts w:ascii="Arial" w:hAnsi="Arial" w:cs="Arial"/>
          <w:color w:val="000000"/>
        </w:rPr>
        <w:t>All research personnel must be added to the appropriate biosafety protocol (BSP) and must complete Initial Biosafety and Bloodborne Pathogen Training; refresher training must be completed annually.</w:t>
      </w:r>
    </w:p>
    <w:p w:rsidR="00560C73" w:rsidRDefault="00560C73" w:rsidP="004C1A99">
      <w:pPr>
        <w:pStyle w:val="NormalWeb"/>
        <w:numPr>
          <w:ilvl w:val="0"/>
          <w:numId w:val="41"/>
        </w:numPr>
        <w:spacing w:after="0"/>
        <w:rPr>
          <w:rFonts w:ascii="Arial" w:hAnsi="Arial" w:cs="Arial"/>
          <w:color w:val="000000"/>
        </w:rPr>
      </w:pPr>
      <w:r w:rsidRPr="004C1A99">
        <w:rPr>
          <w:rFonts w:ascii="Arial" w:hAnsi="Arial" w:cs="Arial"/>
          <w:color w:val="000000"/>
        </w:rPr>
        <w:t>All research personnel must complete the NIH guidelines for Research Involving Recombinant or Synthetic Nucleic Acid Molecules</w:t>
      </w:r>
      <w:r w:rsidR="004C1A99" w:rsidRPr="004C1A99">
        <w:rPr>
          <w:rFonts w:ascii="Arial" w:hAnsi="Arial" w:cs="Arial"/>
          <w:color w:val="000000"/>
        </w:rPr>
        <w:t xml:space="preserve"> prior to initiating any experiments</w:t>
      </w:r>
      <w:r w:rsidR="004C1A99">
        <w:rPr>
          <w:rFonts w:ascii="Arial" w:hAnsi="Arial" w:cs="Arial"/>
          <w:color w:val="000000"/>
        </w:rPr>
        <w:t>.</w:t>
      </w:r>
    </w:p>
    <w:p w:rsidR="004C1A99" w:rsidRPr="004C1A99" w:rsidRDefault="004C1A99" w:rsidP="004C1A99">
      <w:pPr>
        <w:pStyle w:val="NormalWeb"/>
        <w:spacing w:after="0"/>
        <w:rPr>
          <w:rFonts w:ascii="Arial" w:hAnsi="Arial" w:cs="Arial"/>
          <w:b/>
          <w:color w:val="000000"/>
        </w:rPr>
      </w:pPr>
      <w:r w:rsidRPr="004C1A99">
        <w:rPr>
          <w:rFonts w:ascii="Arial" w:hAnsi="Arial" w:cs="Arial"/>
          <w:b/>
          <w:color w:val="000000"/>
        </w:rPr>
        <w:t>Attire and personal protective equipment (PPE) requirements:</w:t>
      </w:r>
    </w:p>
    <w:p w:rsidR="004C1A99" w:rsidRDefault="004C1A99" w:rsidP="004C1A99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 pants or ankle length skirts (no shorts or short skirts) and shoes that cover the entire foot (no sandals or flip flops, no ballet flats)</w:t>
      </w:r>
      <w:r w:rsidRPr="00767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required for entry into areas where stereotactic injections are performed.</w:t>
      </w:r>
    </w:p>
    <w:p w:rsidR="004C1A99" w:rsidRDefault="004C1A99" w:rsidP="004C1A99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Hair cover, surgical mask, closed front gowns, gloves, and eye protection (i.e. safety glasses) are required when performing stereotactic surgeries.</w:t>
      </w:r>
    </w:p>
    <w:p w:rsidR="004C1A99" w:rsidRDefault="004C1A99" w:rsidP="004C1A99">
      <w:pPr>
        <w:pStyle w:val="NormalWeb"/>
        <w:spacing w:after="0"/>
        <w:rPr>
          <w:rFonts w:ascii="Arial" w:hAnsi="Arial" w:cs="Arial"/>
          <w:b/>
          <w:color w:val="000000"/>
        </w:rPr>
      </w:pPr>
      <w:r w:rsidRPr="004C1A99">
        <w:rPr>
          <w:rFonts w:ascii="Arial" w:hAnsi="Arial" w:cs="Arial"/>
          <w:b/>
          <w:color w:val="000000"/>
        </w:rPr>
        <w:t>General Safety Procedures:</w:t>
      </w:r>
    </w:p>
    <w:p w:rsidR="004C1A99" w:rsidRDefault="004C1A99" w:rsidP="004C1A99">
      <w:pPr>
        <w:pStyle w:val="NormalWeb"/>
        <w:numPr>
          <w:ilvl w:val="0"/>
          <w:numId w:val="4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Stereotactic injections will be performed by experienced personnel only. The Principal Investigator (PI) must ensure that personnel are appropriately trained on the procedure and all related safety measures.</w:t>
      </w:r>
    </w:p>
    <w:p w:rsidR="004C1A99" w:rsidRDefault="004C1A99" w:rsidP="004C1A99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All persons entering the laboratory</w:t>
      </w:r>
      <w:r>
        <w:rPr>
          <w:rFonts w:ascii="Arial" w:hAnsi="Arial" w:cs="Arial"/>
          <w:color w:val="000000"/>
        </w:rPr>
        <w:t xml:space="preserve"> must</w:t>
      </w:r>
      <w:r w:rsidRPr="005B46DD"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</w:rPr>
        <w:t xml:space="preserve"> advised of the potential hazards associated with the use of recombinant DNA during stereotactic surgery.</w:t>
      </w:r>
    </w:p>
    <w:p w:rsidR="004C1A99" w:rsidRDefault="004C1A99" w:rsidP="004C1A99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Access to the laboratory </w:t>
      </w:r>
      <w:r>
        <w:rPr>
          <w:rFonts w:ascii="Arial" w:hAnsi="Arial" w:cs="Arial"/>
          <w:color w:val="000000"/>
        </w:rPr>
        <w:t>must be</w:t>
      </w:r>
      <w:r w:rsidRPr="005B46DD">
        <w:rPr>
          <w:rFonts w:ascii="Arial" w:hAnsi="Arial" w:cs="Arial"/>
          <w:color w:val="000000"/>
        </w:rPr>
        <w:t xml:space="preserve"> limited to staff, or other persons with permission of the Principal Investigator, when </w:t>
      </w:r>
      <w:r>
        <w:rPr>
          <w:rFonts w:ascii="Arial" w:hAnsi="Arial" w:cs="Arial"/>
          <w:color w:val="000000"/>
        </w:rPr>
        <w:t>performing stereotactic injections</w:t>
      </w:r>
      <w:r w:rsidRPr="005B46DD">
        <w:rPr>
          <w:rFonts w:ascii="Arial" w:hAnsi="Arial" w:cs="Arial"/>
          <w:color w:val="000000"/>
        </w:rPr>
        <w:t xml:space="preserve">.  </w:t>
      </w:r>
    </w:p>
    <w:p w:rsidR="00E62BD0" w:rsidRDefault="00E62BD0" w:rsidP="004C1A99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Signs must be placed on the doors during the procedures to restrict access.</w:t>
      </w:r>
    </w:p>
    <w:p w:rsidR="00E62BD0" w:rsidRDefault="00E62BD0" w:rsidP="004C1A99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Laboratory must be decluttered before starting these experiments:</w:t>
      </w:r>
    </w:p>
    <w:p w:rsidR="00E62BD0" w:rsidRDefault="00E62BD0" w:rsidP="00E62BD0">
      <w:pPr>
        <w:pStyle w:val="NormalWeb"/>
        <w:numPr>
          <w:ilvl w:val="1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Remove all non-essential items.</w:t>
      </w:r>
    </w:p>
    <w:p w:rsidR="00E62BD0" w:rsidRPr="005B46DD" w:rsidRDefault="00E62BD0" w:rsidP="00E62BD0">
      <w:pPr>
        <w:pStyle w:val="NormalWeb"/>
        <w:numPr>
          <w:ilvl w:val="1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Remove non-cleanable materials (i.e. cardboard, cloth).</w:t>
      </w:r>
    </w:p>
    <w:p w:rsidR="004C1A99" w:rsidRDefault="004C1A99" w:rsidP="004C1A99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NO CIRCUMSTANCES will gloves be reused.</w:t>
      </w:r>
    </w:p>
    <w:p w:rsidR="004C1A99" w:rsidRDefault="004C1A99" w:rsidP="00E62BD0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1768">
        <w:rPr>
          <w:rFonts w:ascii="Arial" w:hAnsi="Arial" w:cs="Arial"/>
          <w:sz w:val="24"/>
          <w:szCs w:val="24"/>
        </w:rPr>
        <w:t xml:space="preserve">All procedures must be performed </w:t>
      </w:r>
      <w:r>
        <w:rPr>
          <w:rFonts w:ascii="Arial" w:hAnsi="Arial" w:cs="Arial"/>
          <w:sz w:val="24"/>
          <w:szCs w:val="24"/>
        </w:rPr>
        <w:t xml:space="preserve">in a manner that </w:t>
      </w:r>
      <w:r w:rsidRPr="00ED1768">
        <w:rPr>
          <w:rFonts w:ascii="Arial" w:hAnsi="Arial" w:cs="Arial"/>
          <w:sz w:val="24"/>
          <w:szCs w:val="24"/>
        </w:rPr>
        <w:t>minimize</w:t>
      </w:r>
      <w:r>
        <w:rPr>
          <w:rFonts w:ascii="Arial" w:hAnsi="Arial" w:cs="Arial"/>
          <w:sz w:val="24"/>
          <w:szCs w:val="24"/>
        </w:rPr>
        <w:t>s</w:t>
      </w:r>
      <w:r w:rsidRPr="00ED1768">
        <w:rPr>
          <w:rFonts w:ascii="Arial" w:hAnsi="Arial" w:cs="Arial"/>
          <w:sz w:val="24"/>
          <w:szCs w:val="24"/>
        </w:rPr>
        <w:t xml:space="preserve"> creation of splashes or aerosols.</w:t>
      </w:r>
    </w:p>
    <w:p w:rsidR="00E62BD0" w:rsidRDefault="00E62BD0" w:rsidP="00E62BD0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Luer Lock or Hamilton syringes must be used to prevent separation of needle and syringe.</w:t>
      </w:r>
    </w:p>
    <w:p w:rsidR="00E62BD0" w:rsidRPr="00E62BD0" w:rsidRDefault="00E62BD0" w:rsidP="00E62BD0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surgery, close injection site with staples or tissue glue.</w:t>
      </w:r>
    </w:p>
    <w:p w:rsidR="005B46DD" w:rsidRPr="005B46DD" w:rsidRDefault="005B46DD" w:rsidP="005B46DD">
      <w:pPr>
        <w:pStyle w:val="NormalWeb"/>
        <w:spacing w:after="0"/>
        <w:rPr>
          <w:rFonts w:ascii="Arial" w:hAnsi="Arial" w:cs="Arial"/>
          <w:b/>
          <w:color w:val="000000"/>
        </w:rPr>
      </w:pPr>
      <w:r w:rsidRPr="005B46DD">
        <w:rPr>
          <w:rFonts w:ascii="Arial" w:hAnsi="Arial" w:cs="Arial"/>
          <w:b/>
          <w:color w:val="000000"/>
        </w:rPr>
        <w:t>After completion of procedures:</w:t>
      </w:r>
    </w:p>
    <w:p w:rsidR="00E62BD0" w:rsidRDefault="00E62BD0" w:rsidP="00E62BD0">
      <w:pPr>
        <w:pStyle w:val="NormalWeb"/>
        <w:numPr>
          <w:ilvl w:val="0"/>
          <w:numId w:val="45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laboratory surfaces and equipment must be decontaminated immediately following injection procedure.</w:t>
      </w:r>
    </w:p>
    <w:p w:rsidR="00E62BD0" w:rsidRDefault="00E62BD0" w:rsidP="00E62BD0">
      <w:pPr>
        <w:pStyle w:val="NormalWeb"/>
        <w:numPr>
          <w:ilvl w:val="0"/>
          <w:numId w:val="45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Animals must be transported to the animal facility in banded cages.</w:t>
      </w:r>
    </w:p>
    <w:p w:rsidR="00E62BD0" w:rsidRDefault="00E62BD0" w:rsidP="00E62BD0">
      <w:pPr>
        <w:pStyle w:val="NormalWeb"/>
        <w:numPr>
          <w:ilvl w:val="0"/>
          <w:numId w:val="45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Cages must be placed in secondary containment during transport.</w:t>
      </w:r>
    </w:p>
    <w:p w:rsidR="00E62BD0" w:rsidRDefault="00E62BD0" w:rsidP="00E62BD0">
      <w:pPr>
        <w:pStyle w:val="NormalWeb"/>
        <w:numPr>
          <w:ilvl w:val="0"/>
          <w:numId w:val="45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 with Laboratory Animal Services (LAS) prior to experiments to provide assistance with transport.</w:t>
      </w:r>
    </w:p>
    <w:p w:rsidR="00E62BD0" w:rsidRDefault="00F25B94" w:rsidP="00E62BD0">
      <w:pPr>
        <w:pStyle w:val="NormalWeb"/>
        <w:numPr>
          <w:ilvl w:val="0"/>
          <w:numId w:val="45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Soiled cages and bedding should be returned to the appropriate animal facility for disposal (facility where animals are housed).</w:t>
      </w:r>
    </w:p>
    <w:p w:rsidR="00F25B94" w:rsidRDefault="00F25B94" w:rsidP="00F25B94">
      <w:pPr>
        <w:pStyle w:val="NormalWeb"/>
        <w:spacing w:after="0"/>
        <w:rPr>
          <w:rFonts w:ascii="Arial" w:hAnsi="Arial" w:cs="Arial"/>
          <w:b/>
          <w:color w:val="000000"/>
        </w:rPr>
      </w:pPr>
      <w:r w:rsidRPr="00F25B94">
        <w:rPr>
          <w:rFonts w:ascii="Arial" w:hAnsi="Arial" w:cs="Arial"/>
          <w:b/>
          <w:color w:val="000000"/>
        </w:rPr>
        <w:t>Animal housing requirements:</w:t>
      </w:r>
    </w:p>
    <w:p w:rsidR="00F25B94" w:rsidRDefault="00F25B94" w:rsidP="00F25B94">
      <w:pPr>
        <w:pStyle w:val="NormalWeb"/>
        <w:numPr>
          <w:ilvl w:val="0"/>
          <w:numId w:val="46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Animals injected with adeno-associated viruses may be housed at ABSL1 after inoculation.</w:t>
      </w:r>
    </w:p>
    <w:p w:rsidR="00F25B94" w:rsidRPr="00094CDD" w:rsidRDefault="00F25B94" w:rsidP="00094CDD">
      <w:pPr>
        <w:pStyle w:val="NormalWeb"/>
        <w:numPr>
          <w:ilvl w:val="0"/>
          <w:numId w:val="46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Animals injected with </w:t>
      </w:r>
      <w:r w:rsidR="00094CDD">
        <w:rPr>
          <w:rFonts w:ascii="Arial" w:hAnsi="Arial" w:cs="Arial"/>
          <w:color w:val="000000"/>
        </w:rPr>
        <w:t xml:space="preserve">G-deleted </w:t>
      </w:r>
      <w:r>
        <w:rPr>
          <w:rFonts w:ascii="Arial" w:hAnsi="Arial" w:cs="Arial"/>
          <w:color w:val="000000"/>
        </w:rPr>
        <w:t xml:space="preserve">rabies virus </w:t>
      </w:r>
      <w:r w:rsidR="00094CDD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be housed </w:t>
      </w:r>
      <w:r w:rsidR="00094CD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BSL1 after inoculation.</w:t>
      </w:r>
    </w:p>
    <w:p w:rsidR="00F25B94" w:rsidRDefault="00F25B94" w:rsidP="00F25B94">
      <w:pPr>
        <w:pStyle w:val="NormalWeb"/>
        <w:numPr>
          <w:ilvl w:val="0"/>
          <w:numId w:val="46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Animals injected with lentivirus </w:t>
      </w:r>
      <w:r w:rsidR="00094CDD">
        <w:rPr>
          <w:rFonts w:ascii="Arial" w:hAnsi="Arial" w:cs="Arial"/>
          <w:color w:val="000000"/>
        </w:rPr>
        <w:t>must be housed at ABS2</w:t>
      </w:r>
      <w:r>
        <w:rPr>
          <w:rFonts w:ascii="Arial" w:hAnsi="Arial" w:cs="Arial"/>
          <w:color w:val="000000"/>
        </w:rPr>
        <w:t xml:space="preserve"> for 72 hours after inoculation; the PI may request a downgrade to ABLS1 after 72 hours.</w:t>
      </w:r>
    </w:p>
    <w:p w:rsidR="00094CDD" w:rsidRPr="00F25B94" w:rsidRDefault="00094CDD" w:rsidP="00F25B94">
      <w:pPr>
        <w:pStyle w:val="NormalWeb"/>
        <w:numPr>
          <w:ilvl w:val="0"/>
          <w:numId w:val="46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Animal injected with Vaccinia virus, adenovirus, or Herpes Simples Virus must be housed art ABSL2; no downgrade at this time.</w:t>
      </w:r>
    </w:p>
    <w:p w:rsidR="007A02DD" w:rsidRDefault="002101BE" w:rsidP="005B46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Biological s</w:t>
      </w:r>
      <w:r w:rsidR="007A02DD" w:rsidRPr="007A02DD">
        <w:rPr>
          <w:rFonts w:ascii="Arial" w:hAnsi="Arial" w:cs="Arial"/>
          <w:b/>
          <w:color w:val="000000"/>
        </w:rPr>
        <w:t>pills</w:t>
      </w:r>
      <w:r>
        <w:rPr>
          <w:rFonts w:ascii="Arial" w:hAnsi="Arial" w:cs="Arial"/>
          <w:b/>
          <w:color w:val="000000"/>
        </w:rPr>
        <w:t>/accidents/exposures</w:t>
      </w:r>
      <w:r w:rsidR="007A02DD">
        <w:rPr>
          <w:rFonts w:ascii="Arial" w:hAnsi="Arial" w:cs="Arial"/>
          <w:b/>
          <w:color w:val="000000"/>
        </w:rPr>
        <w:t>:</w:t>
      </w:r>
    </w:p>
    <w:p w:rsidR="007A02DD" w:rsidRDefault="007A02DD" w:rsidP="005B46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101BE" w:rsidRDefault="007A02DD" w:rsidP="003020B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spills, injuries or exposures involving recombinant or synthetic nucleic acids should be treated and reported </w:t>
      </w:r>
      <w:r w:rsidR="002101BE">
        <w:rPr>
          <w:rFonts w:ascii="Arial" w:hAnsi="Arial" w:cs="Arial"/>
          <w:color w:val="000000"/>
        </w:rPr>
        <w:t>to the Principal Investigator and the Biological Safety Office.</w:t>
      </w:r>
    </w:p>
    <w:p w:rsidR="00C02A3A" w:rsidRPr="002101BE" w:rsidRDefault="005B46DD" w:rsidP="003020B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101BE">
        <w:rPr>
          <w:rFonts w:ascii="Arial" w:hAnsi="Arial" w:cs="Arial"/>
          <w:color w:val="000000"/>
        </w:rPr>
        <w:t>Please consult the B</w:t>
      </w:r>
      <w:r w:rsidR="00584E93" w:rsidRPr="002101BE">
        <w:rPr>
          <w:rFonts w:ascii="Arial" w:hAnsi="Arial" w:cs="Arial"/>
          <w:color w:val="000000"/>
        </w:rPr>
        <w:t xml:space="preserve">iological Safety Office webpage </w:t>
      </w:r>
      <w:r w:rsidRPr="002101BE">
        <w:rPr>
          <w:rFonts w:ascii="Arial" w:hAnsi="Arial" w:cs="Arial"/>
          <w:color w:val="000000"/>
        </w:rPr>
        <w:t xml:space="preserve">for guidance documents that are specific to spill clean-up, accidents and injuries: </w:t>
      </w:r>
      <w:hyperlink r:id="rId8" w:history="1">
        <w:r w:rsidR="002101BE" w:rsidRPr="002101BE">
          <w:rPr>
            <w:rStyle w:val="Hyperlink"/>
            <w:rFonts w:ascii="Arial" w:hAnsi="Arial" w:cs="Arial"/>
          </w:rPr>
          <w:t>http://www.augusta.edu/services/ehs/biosafe/</w:t>
        </w:r>
      </w:hyperlink>
    </w:p>
    <w:p w:rsidR="00C02A3A" w:rsidRPr="00C02A3A" w:rsidRDefault="00C02A3A" w:rsidP="005B46DD">
      <w:pPr>
        <w:pStyle w:val="NormalWeb"/>
        <w:spacing w:before="0" w:beforeAutospacing="0" w:after="0" w:afterAutospacing="0"/>
        <w:rPr>
          <w:rFonts w:ascii="Arial" w:hAnsi="Arial" w:cs="Arial"/>
          <w:b/>
          <w:sz w:val="2"/>
          <w:szCs w:val="2"/>
        </w:rPr>
      </w:pPr>
    </w:p>
    <w:sectPr w:rsidR="00C02A3A" w:rsidRPr="00C02A3A" w:rsidSect="00C02A3A">
      <w:headerReference w:type="default" r:id="rId9"/>
      <w:footerReference w:type="default" r:id="rId10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34" w:rsidRDefault="003C7D34" w:rsidP="007F7C35">
      <w:pPr>
        <w:spacing w:after="0" w:line="240" w:lineRule="auto"/>
      </w:pPr>
      <w:r>
        <w:separator/>
      </w:r>
    </w:p>
  </w:endnote>
  <w:endnote w:type="continuationSeparator" w:id="0">
    <w:p w:rsidR="003C7D34" w:rsidRDefault="003C7D34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C35" w:rsidRPr="00C6797A" w:rsidRDefault="00DC123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F25B94">
      <w:rPr>
        <w:sz w:val="18"/>
        <w:szCs w:val="18"/>
      </w:rPr>
      <w:t>1.10.2017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34" w:rsidRDefault="003C7D34" w:rsidP="007F7C35">
      <w:pPr>
        <w:spacing w:after="0" w:line="240" w:lineRule="auto"/>
      </w:pPr>
      <w:r>
        <w:separator/>
      </w:r>
    </w:p>
  </w:footnote>
  <w:footnote w:type="continuationSeparator" w:id="0">
    <w:p w:rsidR="003C7D34" w:rsidRDefault="003C7D34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D7" w:rsidRDefault="00C02A3A" w:rsidP="00DC38D7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E0B7C3" wp14:editId="48F69B77">
              <wp:simplePos x="0" y="0"/>
              <wp:positionH relativeFrom="column">
                <wp:posOffset>4904509</wp:posOffset>
              </wp:positionH>
              <wp:positionV relativeFrom="paragraph">
                <wp:posOffset>-187037</wp:posOffset>
              </wp:positionV>
              <wp:extent cx="1627909" cy="67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09" cy="67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A3A" w:rsidRDefault="00C02A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4B160" wp14:editId="0E256D65">
                                <wp:extent cx="1660041" cy="82434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ugustaUniversity_H_RGB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761" cy="85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6.2pt;margin-top:-14.75pt;width:128.2pt;height:5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" filled="f" stroked="f" strokeweight=".5pt">
              <v:textbox>
                <w:txbxContent>
                  <w:p w:rsidR="00C02A3A" w:rsidRDefault="00C02A3A">
                    <w:r>
                      <w:rPr>
                        <w:noProof/>
                      </w:rPr>
                      <w:drawing>
                        <wp:inline distT="0" distB="0" distL="0" distR="0" wp14:anchorId="2A54B160" wp14:editId="0E256D65">
                          <wp:extent cx="1660041" cy="82434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ugustaUniversity_H_RGB (1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761" cy="85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B7062A" wp14:editId="03743C3F">
              <wp:simplePos x="0" y="0"/>
              <wp:positionH relativeFrom="column">
                <wp:posOffset>47625</wp:posOffset>
              </wp:positionH>
              <wp:positionV relativeFrom="paragraph">
                <wp:posOffset>142875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Environmental Health and Safety Division</w:t>
                          </w:r>
                        </w:p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7" type="#_x0000_t202" style="position:absolute;left:0;text-align:left;margin-left:3.75pt;margin-top:11.25pt;width:318.95pt;height:29.0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" filled="f" stroked="f">
              <v:textbox style="mso-fit-shape-to-text:t">
                <w:txbxContent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Environmental Health and Safety Division</w:t>
                    </w:r>
                  </w:p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b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37FF33" wp14:editId="084617DB">
          <wp:extent cx="685800" cy="6858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8D7">
      <w:tab/>
    </w:r>
    <w:r w:rsidR="00DC38D7">
      <w:tab/>
      <w:t xml:space="preserve">        </w:t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</w:p>
  <w:p w:rsidR="00DC38D7" w:rsidRDefault="00DC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08"/>
    <w:multiLevelType w:val="hybridMultilevel"/>
    <w:tmpl w:val="A638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E3D3F"/>
    <w:multiLevelType w:val="hybridMultilevel"/>
    <w:tmpl w:val="D6C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43C"/>
    <w:multiLevelType w:val="hybridMultilevel"/>
    <w:tmpl w:val="F4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1F1"/>
    <w:multiLevelType w:val="multilevel"/>
    <w:tmpl w:val="645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724F0"/>
    <w:multiLevelType w:val="hybridMultilevel"/>
    <w:tmpl w:val="88AA5246"/>
    <w:lvl w:ilvl="0" w:tplc="0409000F">
      <w:start w:val="1"/>
      <w:numFmt w:val="decimal"/>
      <w:lvlText w:val="%1."/>
      <w:lvlJc w:val="left"/>
      <w:pPr>
        <w:ind w:left="2050" w:hanging="360"/>
      </w:pPr>
    </w:lvl>
    <w:lvl w:ilvl="1" w:tplc="04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8">
    <w:nsid w:val="131B2982"/>
    <w:multiLevelType w:val="hybridMultilevel"/>
    <w:tmpl w:val="E74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2787"/>
    <w:multiLevelType w:val="hybridMultilevel"/>
    <w:tmpl w:val="E160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36726"/>
    <w:multiLevelType w:val="multilevel"/>
    <w:tmpl w:val="D00A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43E7"/>
    <w:multiLevelType w:val="multilevel"/>
    <w:tmpl w:val="914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D95737"/>
    <w:multiLevelType w:val="hybridMultilevel"/>
    <w:tmpl w:val="363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161D"/>
    <w:multiLevelType w:val="multilevel"/>
    <w:tmpl w:val="35C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C123B"/>
    <w:multiLevelType w:val="hybridMultilevel"/>
    <w:tmpl w:val="2498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73617"/>
    <w:multiLevelType w:val="hybridMultilevel"/>
    <w:tmpl w:val="30D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B4908"/>
    <w:multiLevelType w:val="hybridMultilevel"/>
    <w:tmpl w:val="1E12F23A"/>
    <w:lvl w:ilvl="0" w:tplc="4190B80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9925FD3"/>
    <w:multiLevelType w:val="hybridMultilevel"/>
    <w:tmpl w:val="C28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A51C7"/>
    <w:multiLevelType w:val="hybridMultilevel"/>
    <w:tmpl w:val="6DD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D4EF1"/>
    <w:multiLevelType w:val="multilevel"/>
    <w:tmpl w:val="64B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41064"/>
    <w:multiLevelType w:val="hybridMultilevel"/>
    <w:tmpl w:val="DE6C68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34906BD"/>
    <w:multiLevelType w:val="multilevel"/>
    <w:tmpl w:val="482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BE0304"/>
    <w:multiLevelType w:val="multilevel"/>
    <w:tmpl w:val="A9A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20AFB"/>
    <w:multiLevelType w:val="hybridMultilevel"/>
    <w:tmpl w:val="C74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8619E"/>
    <w:multiLevelType w:val="hybridMultilevel"/>
    <w:tmpl w:val="AE740BEC"/>
    <w:lvl w:ilvl="0" w:tplc="C144E0A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4ADA59B5"/>
    <w:multiLevelType w:val="hybridMultilevel"/>
    <w:tmpl w:val="5D7CB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818F7"/>
    <w:multiLevelType w:val="hybridMultilevel"/>
    <w:tmpl w:val="C616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069DA"/>
    <w:multiLevelType w:val="hybridMultilevel"/>
    <w:tmpl w:val="692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6103B"/>
    <w:multiLevelType w:val="hybridMultilevel"/>
    <w:tmpl w:val="9EB2A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D5C33"/>
    <w:multiLevelType w:val="hybridMultilevel"/>
    <w:tmpl w:val="D368BB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B3419AA"/>
    <w:multiLevelType w:val="hybridMultilevel"/>
    <w:tmpl w:val="337E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867C1"/>
    <w:multiLevelType w:val="hybridMultilevel"/>
    <w:tmpl w:val="A5B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05A16"/>
    <w:multiLevelType w:val="hybridMultilevel"/>
    <w:tmpl w:val="ADC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16FF2"/>
    <w:multiLevelType w:val="hybridMultilevel"/>
    <w:tmpl w:val="BF78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B5F7B"/>
    <w:multiLevelType w:val="hybridMultilevel"/>
    <w:tmpl w:val="85B6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D0BFB"/>
    <w:multiLevelType w:val="hybridMultilevel"/>
    <w:tmpl w:val="92F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A2B99"/>
    <w:multiLevelType w:val="multilevel"/>
    <w:tmpl w:val="8EB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82544"/>
    <w:multiLevelType w:val="multilevel"/>
    <w:tmpl w:val="A38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D218BE"/>
    <w:multiLevelType w:val="hybridMultilevel"/>
    <w:tmpl w:val="DC0A1B92"/>
    <w:lvl w:ilvl="0" w:tplc="18CA7522">
      <w:start w:val="7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3E2"/>
    <w:multiLevelType w:val="hybridMultilevel"/>
    <w:tmpl w:val="B7B6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E78BF"/>
    <w:multiLevelType w:val="hybridMultilevel"/>
    <w:tmpl w:val="89F03F22"/>
    <w:lvl w:ilvl="0" w:tplc="6D1C2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D1B5E"/>
    <w:multiLevelType w:val="hybridMultilevel"/>
    <w:tmpl w:val="46EE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6"/>
  </w:num>
  <w:num w:numId="5">
    <w:abstractNumId w:val="37"/>
  </w:num>
  <w:num w:numId="6">
    <w:abstractNumId w:val="6"/>
  </w:num>
  <w:num w:numId="7">
    <w:abstractNumId w:val="5"/>
  </w:num>
  <w:num w:numId="8">
    <w:abstractNumId w:val="7"/>
  </w:num>
  <w:num w:numId="9">
    <w:abstractNumId w:val="45"/>
  </w:num>
  <w:num w:numId="10">
    <w:abstractNumId w:val="22"/>
  </w:num>
  <w:num w:numId="11">
    <w:abstractNumId w:val="32"/>
  </w:num>
  <w:num w:numId="12">
    <w:abstractNumId w:val="44"/>
  </w:num>
  <w:num w:numId="13">
    <w:abstractNumId w:val="42"/>
  </w:num>
  <w:num w:numId="14">
    <w:abstractNumId w:val="2"/>
  </w:num>
  <w:num w:numId="15">
    <w:abstractNumId w:val="18"/>
  </w:num>
  <w:num w:numId="16">
    <w:abstractNumId w:val="26"/>
  </w:num>
  <w:num w:numId="17">
    <w:abstractNumId w:val="14"/>
  </w:num>
  <w:num w:numId="18">
    <w:abstractNumId w:val="11"/>
  </w:num>
  <w:num w:numId="19">
    <w:abstractNumId w:val="40"/>
  </w:num>
  <w:num w:numId="20">
    <w:abstractNumId w:val="24"/>
  </w:num>
  <w:num w:numId="21">
    <w:abstractNumId w:val="21"/>
  </w:num>
  <w:num w:numId="22">
    <w:abstractNumId w:val="41"/>
  </w:num>
  <w:num w:numId="23">
    <w:abstractNumId w:val="23"/>
  </w:num>
  <w:num w:numId="24">
    <w:abstractNumId w:val="4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27"/>
  </w:num>
  <w:num w:numId="30">
    <w:abstractNumId w:val="34"/>
  </w:num>
  <w:num w:numId="31">
    <w:abstractNumId w:val="33"/>
  </w:num>
  <w:num w:numId="32">
    <w:abstractNumId w:val="1"/>
  </w:num>
  <w:num w:numId="33">
    <w:abstractNumId w:val="0"/>
  </w:num>
  <w:num w:numId="34">
    <w:abstractNumId w:val="13"/>
  </w:num>
  <w:num w:numId="35">
    <w:abstractNumId w:val="15"/>
  </w:num>
  <w:num w:numId="36">
    <w:abstractNumId w:val="17"/>
  </w:num>
  <w:num w:numId="37">
    <w:abstractNumId w:val="10"/>
  </w:num>
  <w:num w:numId="38">
    <w:abstractNumId w:val="8"/>
  </w:num>
  <w:num w:numId="39">
    <w:abstractNumId w:val="25"/>
  </w:num>
  <w:num w:numId="40">
    <w:abstractNumId w:val="39"/>
  </w:num>
  <w:num w:numId="41">
    <w:abstractNumId w:val="28"/>
  </w:num>
  <w:num w:numId="42">
    <w:abstractNumId w:val="35"/>
  </w:num>
  <w:num w:numId="43">
    <w:abstractNumId w:val="36"/>
  </w:num>
  <w:num w:numId="44">
    <w:abstractNumId w:val="31"/>
  </w:num>
  <w:num w:numId="45">
    <w:abstractNumId w:val="4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C"/>
    <w:rsid w:val="00030161"/>
    <w:rsid w:val="00063493"/>
    <w:rsid w:val="00094CDD"/>
    <w:rsid w:val="000F1176"/>
    <w:rsid w:val="00107B89"/>
    <w:rsid w:val="00155A2A"/>
    <w:rsid w:val="001734ED"/>
    <w:rsid w:val="001C12AF"/>
    <w:rsid w:val="001D2975"/>
    <w:rsid w:val="002101BE"/>
    <w:rsid w:val="00272042"/>
    <w:rsid w:val="00272101"/>
    <w:rsid w:val="0027474D"/>
    <w:rsid w:val="00296B38"/>
    <w:rsid w:val="002A39DC"/>
    <w:rsid w:val="002B07C0"/>
    <w:rsid w:val="002D2D13"/>
    <w:rsid w:val="002E41EF"/>
    <w:rsid w:val="003020B8"/>
    <w:rsid w:val="00304BF1"/>
    <w:rsid w:val="00306B32"/>
    <w:rsid w:val="003329A8"/>
    <w:rsid w:val="00334126"/>
    <w:rsid w:val="0033548C"/>
    <w:rsid w:val="003376CD"/>
    <w:rsid w:val="003555FE"/>
    <w:rsid w:val="003C7D34"/>
    <w:rsid w:val="0048194B"/>
    <w:rsid w:val="00483404"/>
    <w:rsid w:val="004B3A0C"/>
    <w:rsid w:val="004B4664"/>
    <w:rsid w:val="004C1A99"/>
    <w:rsid w:val="00560C73"/>
    <w:rsid w:val="00584E93"/>
    <w:rsid w:val="005A1315"/>
    <w:rsid w:val="005B46DD"/>
    <w:rsid w:val="005B479D"/>
    <w:rsid w:val="005B5050"/>
    <w:rsid w:val="0065249A"/>
    <w:rsid w:val="006E142C"/>
    <w:rsid w:val="007040D8"/>
    <w:rsid w:val="0071404F"/>
    <w:rsid w:val="0073195C"/>
    <w:rsid w:val="00740D8B"/>
    <w:rsid w:val="00770641"/>
    <w:rsid w:val="0078190C"/>
    <w:rsid w:val="00792DA9"/>
    <w:rsid w:val="007975B2"/>
    <w:rsid w:val="007A02DD"/>
    <w:rsid w:val="007D7C94"/>
    <w:rsid w:val="007E54CE"/>
    <w:rsid w:val="007F7C35"/>
    <w:rsid w:val="00855A7C"/>
    <w:rsid w:val="00882F5B"/>
    <w:rsid w:val="00897CB6"/>
    <w:rsid w:val="008B056A"/>
    <w:rsid w:val="008E0A8B"/>
    <w:rsid w:val="00942A15"/>
    <w:rsid w:val="00961C00"/>
    <w:rsid w:val="009A3716"/>
    <w:rsid w:val="00A16E28"/>
    <w:rsid w:val="00A378ED"/>
    <w:rsid w:val="00A50CE4"/>
    <w:rsid w:val="00A81AFA"/>
    <w:rsid w:val="00AB570C"/>
    <w:rsid w:val="00AC120B"/>
    <w:rsid w:val="00AC5C0B"/>
    <w:rsid w:val="00B15B56"/>
    <w:rsid w:val="00B6318D"/>
    <w:rsid w:val="00C02A3A"/>
    <w:rsid w:val="00C0645B"/>
    <w:rsid w:val="00C1601B"/>
    <w:rsid w:val="00C348C5"/>
    <w:rsid w:val="00C6797A"/>
    <w:rsid w:val="00C84028"/>
    <w:rsid w:val="00C931D7"/>
    <w:rsid w:val="00CC461A"/>
    <w:rsid w:val="00D16517"/>
    <w:rsid w:val="00D6273E"/>
    <w:rsid w:val="00D637D5"/>
    <w:rsid w:val="00D76C68"/>
    <w:rsid w:val="00DA5C1F"/>
    <w:rsid w:val="00DC1230"/>
    <w:rsid w:val="00DC38D7"/>
    <w:rsid w:val="00E62BD0"/>
    <w:rsid w:val="00EA56B9"/>
    <w:rsid w:val="00EC31C8"/>
    <w:rsid w:val="00EE59E3"/>
    <w:rsid w:val="00EF1162"/>
    <w:rsid w:val="00F25B94"/>
    <w:rsid w:val="00F635B7"/>
    <w:rsid w:val="00F6666C"/>
    <w:rsid w:val="00F703DB"/>
    <w:rsid w:val="00F75D5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.edu/services/ehs/biosaf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Desevilla, Liesl M.</cp:lastModifiedBy>
  <cp:revision>5</cp:revision>
  <cp:lastPrinted>2014-01-15T15:58:00Z</cp:lastPrinted>
  <dcterms:created xsi:type="dcterms:W3CDTF">2017-01-10T14:56:00Z</dcterms:created>
  <dcterms:modified xsi:type="dcterms:W3CDTF">2017-04-26T20:53:00Z</dcterms:modified>
</cp:coreProperties>
</file>